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9D6D0" w14:textId="23EC7102" w:rsidR="00F349E9" w:rsidRPr="00F349E9" w:rsidRDefault="0069570E" w:rsidP="0069570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0B82ACD" wp14:editId="54939A30">
            <wp:extent cx="5486400" cy="3017520"/>
            <wp:effectExtent l="0" t="0" r="0" b="0"/>
            <wp:docPr id="13941992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199273" name="Picture 139419927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49E9" w:rsidRPr="00F349E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VALUEIO INFRASTRUCTURE ROADMAP</w:t>
      </w:r>
    </w:p>
    <w:p w14:paraId="1E22C1C1" w14:textId="77777777" w:rsidR="00F349E9" w:rsidRPr="00F349E9" w:rsidRDefault="00F349E9" w:rsidP="00F349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349E9">
        <w:rPr>
          <w:rFonts w:ascii="Times New Roman" w:eastAsia="Times New Roman" w:hAnsi="Times New Roman" w:cs="Times New Roman"/>
          <w:b/>
          <w:bCs/>
          <w:sz w:val="36"/>
          <w:szCs w:val="36"/>
        </w:rPr>
        <w:t>Phase 0 — Governance Hardening (0–3 Months)</w:t>
      </w:r>
    </w:p>
    <w:p w14:paraId="366FDAF0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t>Structural Readiness</w:t>
      </w:r>
    </w:p>
    <w:p w14:paraId="7C2EEA26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Smart-I-Shelf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Finalize hardware architecture and enclosure design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Complete sensor fusion calibration validation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Confirm telemetry reliability thresholds</w:t>
      </w:r>
    </w:p>
    <w:p w14:paraId="2ED9A027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HomeSphere.AI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Stabilize multi-agent routing core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Enforce contract-based communication schema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Implement deterministic execution logging</w:t>
      </w:r>
    </w:p>
    <w:p w14:paraId="6DE1C4D1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R.E.T.N.A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Deploy receipt issuance framework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Implement invariant-check enforcement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Establish fail-closed authorization doctrine</w:t>
      </w:r>
    </w:p>
    <w:p w14:paraId="09487F2A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t>Milestone Outcome: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Architecture completed. Governance boundary defined.</w:t>
      </w:r>
    </w:p>
    <w:p w14:paraId="3D431DD6" w14:textId="77777777" w:rsidR="00F349E9" w:rsidRPr="00F349E9" w:rsidRDefault="00F349E9" w:rsidP="00F349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pict w14:anchorId="2919C8E6">
          <v:rect id="_x0000_i1025" style="width:0;height:1.5pt" o:hralign="center" o:hrstd="t" o:hr="t" fillcolor="#a0a0a0" stroked="f"/>
        </w:pict>
      </w:r>
    </w:p>
    <w:p w14:paraId="52DC81B1" w14:textId="77777777" w:rsidR="00F349E9" w:rsidRPr="00F349E9" w:rsidRDefault="00F349E9" w:rsidP="00F349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349E9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Phase I — Proof of Infrastructure (3–6 Months)</w:t>
      </w:r>
    </w:p>
    <w:p w14:paraId="7068532B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t>Validated Prototype + Governance Boundary</w:t>
      </w:r>
    </w:p>
    <w:p w14:paraId="6D4B79BA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Smart-I-Shelf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Field-ready prototype units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Real-world telemetry capture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Physical state verification reliability ≥ defined threshold</w:t>
      </w:r>
    </w:p>
    <w:p w14:paraId="0389BE00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HomeSphere.AI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Multi-agent orchestration across controlled deployments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Model-agnostic routing under live conditions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Execution trace generation under load</w:t>
      </w:r>
    </w:p>
    <w:p w14:paraId="564AA8FE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R.E.T.N.A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Policy evaluation under live decision cycles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Immutable receipt issuance validation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Escalation tier testing (Mode A / B / C)</w:t>
      </w:r>
    </w:p>
    <w:p w14:paraId="0941EB73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t>Milestone Outcome: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Prototype + defensible IP + governance validation.</w:t>
      </w:r>
    </w:p>
    <w:p w14:paraId="40F23FB8" w14:textId="77777777" w:rsidR="00F349E9" w:rsidRPr="00F349E9" w:rsidRDefault="00F349E9" w:rsidP="00F349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pict w14:anchorId="5D3CF50C">
          <v:rect id="_x0000_i1026" style="width:0;height:1.5pt" o:hralign="center" o:hrstd="t" o:hr="t" fillcolor="#a0a0a0" stroked="f"/>
        </w:pict>
      </w:r>
    </w:p>
    <w:p w14:paraId="28833E60" w14:textId="77777777" w:rsidR="00F349E9" w:rsidRPr="00F349E9" w:rsidRDefault="00F349E9" w:rsidP="00F349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349E9">
        <w:rPr>
          <w:rFonts w:ascii="Times New Roman" w:eastAsia="Times New Roman" w:hAnsi="Times New Roman" w:cs="Times New Roman"/>
          <w:b/>
          <w:bCs/>
          <w:sz w:val="36"/>
          <w:szCs w:val="36"/>
        </w:rPr>
        <w:t>Phase II — Pilot Validation (6–12 Months)</w:t>
      </w:r>
    </w:p>
    <w:p w14:paraId="4DFCBC1F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t>Operational Deployment</w:t>
      </w:r>
    </w:p>
    <w:p w14:paraId="73C9C388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Smart-I-Shelf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In-field OEM pilot partnerships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Performance reliability benchmarking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Closed-loop usage dataset accumulation</w:t>
      </w:r>
    </w:p>
    <w:p w14:paraId="1E5F232E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HomeSphere.AI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Multi-device coordination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Cross-system orchestration validation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Switching cost indicators forming</w:t>
      </w:r>
    </w:p>
    <w:p w14:paraId="42D56F68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R.E.T.N.A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Governance stress-testing under financial and physical decision scenarios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Audit trace validation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Regulatory alignment mapping (EU AI Act, FDA guidance)</w:t>
      </w:r>
    </w:p>
    <w:p w14:paraId="111FBE81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t>Milestone Outcome: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Reference deployments + operational pilot proof.</w:t>
      </w:r>
    </w:p>
    <w:p w14:paraId="09DC068D" w14:textId="77777777" w:rsidR="00F349E9" w:rsidRPr="00F349E9" w:rsidRDefault="00F349E9" w:rsidP="00F349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lastRenderedPageBreak/>
        <w:pict w14:anchorId="0691B0DE">
          <v:rect id="_x0000_i1027" style="width:0;height:1.5pt" o:hralign="center" o:hrstd="t" o:hr="t" fillcolor="#a0a0a0" stroked="f"/>
        </w:pict>
      </w:r>
    </w:p>
    <w:p w14:paraId="58F3FEBA" w14:textId="77777777" w:rsidR="00F349E9" w:rsidRPr="00F349E9" w:rsidRDefault="00F349E9" w:rsidP="00F349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349E9">
        <w:rPr>
          <w:rFonts w:ascii="Times New Roman" w:eastAsia="Times New Roman" w:hAnsi="Times New Roman" w:cs="Times New Roman"/>
          <w:b/>
          <w:bCs/>
          <w:sz w:val="36"/>
          <w:szCs w:val="36"/>
        </w:rPr>
        <w:t>Phase III — Infrastructure Adoption (12–24 Months)</w:t>
      </w:r>
    </w:p>
    <w:p w14:paraId="2380058E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t>Entrenchment</w:t>
      </w:r>
    </w:p>
    <w:p w14:paraId="0161E637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Smart-I-Shelf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Marketplace deployment agreements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Production hardware scaling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Integration with appliance manufacturers</w:t>
      </w:r>
    </w:p>
    <w:p w14:paraId="23C9865A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HomeSphere.AI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Embedded orchestration layer within OEM ecosystems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API-based integration across partner networks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Revenue-backed SaaS activation</w:t>
      </w:r>
    </w:p>
    <w:p w14:paraId="0533F148" w14:textId="2DEE7E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R.E.T.N.A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Governance licensing framework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Policy enforcement as a service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Institutional compliance positioning</w:t>
      </w:r>
    </w:p>
    <w:p w14:paraId="34BC1A2E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t>Milestone Outcome: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Infrastructure embedded. Integration depth established.</w:t>
      </w:r>
    </w:p>
    <w:p w14:paraId="2F452FB1" w14:textId="77777777" w:rsidR="00F349E9" w:rsidRPr="00F349E9" w:rsidRDefault="00F349E9" w:rsidP="00F349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pict w14:anchorId="1E3AF085">
          <v:rect id="_x0000_i1028" style="width:0;height:1.5pt" o:hralign="center" o:hrstd="t" o:hr="t" fillcolor="#a0a0a0" stroked="f"/>
        </w:pict>
      </w:r>
    </w:p>
    <w:p w14:paraId="0C435463" w14:textId="77777777" w:rsidR="00F349E9" w:rsidRPr="00F349E9" w:rsidRDefault="00F349E9" w:rsidP="00F349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349E9">
        <w:rPr>
          <w:rFonts w:ascii="Times New Roman" w:eastAsia="Times New Roman" w:hAnsi="Times New Roman" w:cs="Times New Roman"/>
          <w:b/>
          <w:bCs/>
          <w:sz w:val="36"/>
          <w:szCs w:val="36"/>
        </w:rPr>
        <w:t>Phase IV — Protocol Standardization (24+ Months)</w:t>
      </w:r>
    </w:p>
    <w:p w14:paraId="0E0902D7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t>Ecosystem Dependency</w:t>
      </w:r>
    </w:p>
    <w:p w14:paraId="0ABEBC07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Smart-I-Shelf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Reference hardware standard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Cross-manufacturer interoperability</w:t>
      </w:r>
    </w:p>
    <w:p w14:paraId="52400011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HomeSphere.AI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Model routing marketplace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Cross-vertical orchestration support</w:t>
      </w:r>
    </w:p>
    <w:p w14:paraId="7C4F721D" w14:textId="77777777" w:rsidR="00F349E9" w:rsidRPr="00F349E9" w:rsidRDefault="00F349E9" w:rsidP="00F34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9E9">
        <w:rPr>
          <w:rFonts w:ascii="Times New Roman" w:eastAsia="Times New Roman" w:hAnsi="Times New Roman" w:cs="Times New Roman"/>
          <w:b/>
          <w:bCs/>
          <w:sz w:val="24"/>
          <w:szCs w:val="24"/>
        </w:rPr>
        <w:t>R.E.T.N.A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Governance protocol licensing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Regulatory-ready certification layer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>• Cross-industry adoption</w:t>
      </w:r>
    </w:p>
    <w:p w14:paraId="47296FFB" w14:textId="233C5CA7" w:rsidR="009D487F" w:rsidRDefault="00F349E9" w:rsidP="0069570E">
      <w:pPr>
        <w:spacing w:before="100" w:beforeAutospacing="1" w:after="100" w:afterAutospacing="1" w:line="240" w:lineRule="auto"/>
      </w:pPr>
      <w:r w:rsidRPr="00F349E9">
        <w:rPr>
          <w:rFonts w:ascii="Times New Roman" w:eastAsia="Times New Roman" w:hAnsi="Times New Roman" w:cs="Times New Roman"/>
          <w:sz w:val="24"/>
          <w:szCs w:val="24"/>
        </w:rPr>
        <w:t>Milestone Outcome:</w:t>
      </w:r>
      <w:r w:rsidRPr="00F349E9">
        <w:rPr>
          <w:rFonts w:ascii="Times New Roman" w:eastAsia="Times New Roman" w:hAnsi="Times New Roman" w:cs="Times New Roman"/>
          <w:sz w:val="24"/>
          <w:szCs w:val="24"/>
        </w:rPr>
        <w:br/>
        <w:t xml:space="preserve">Protocol-level dependency. Governance becomes required </w:t>
      </w:r>
      <w:proofErr w:type="gramStart"/>
      <w:r w:rsidRPr="00F349E9">
        <w:rPr>
          <w:rFonts w:ascii="Times New Roman" w:eastAsia="Times New Roman" w:hAnsi="Times New Roman" w:cs="Times New Roman"/>
          <w:sz w:val="24"/>
          <w:szCs w:val="24"/>
        </w:rPr>
        <w:t>layer</w:t>
      </w:r>
      <w:proofErr w:type="gramEnd"/>
      <w:r w:rsidRPr="00F349E9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9D487F" w:rsidSect="000346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3AA35" w14:textId="77777777" w:rsidR="009D487F" w:rsidRDefault="009D487F" w:rsidP="0096164A">
      <w:pPr>
        <w:spacing w:after="0" w:line="240" w:lineRule="auto"/>
      </w:pPr>
      <w:r>
        <w:separator/>
      </w:r>
    </w:p>
  </w:endnote>
  <w:endnote w:type="continuationSeparator" w:id="0">
    <w:p w14:paraId="0B7BCFF0" w14:textId="77777777" w:rsidR="009D487F" w:rsidRDefault="009D487F" w:rsidP="00961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80FEA" w14:textId="77777777" w:rsidR="0096164A" w:rsidRDefault="009616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C046F" w14:textId="77777777" w:rsidR="0096164A" w:rsidRDefault="009616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DE5C3" w14:textId="77777777" w:rsidR="0096164A" w:rsidRDefault="009616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D46E7" w14:textId="77777777" w:rsidR="009D487F" w:rsidRDefault="009D487F" w:rsidP="0096164A">
      <w:pPr>
        <w:spacing w:after="0" w:line="240" w:lineRule="auto"/>
      </w:pPr>
      <w:r>
        <w:separator/>
      </w:r>
    </w:p>
  </w:footnote>
  <w:footnote w:type="continuationSeparator" w:id="0">
    <w:p w14:paraId="3FEF45F7" w14:textId="77777777" w:rsidR="009D487F" w:rsidRDefault="009D487F" w:rsidP="00961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F2158" w14:textId="5266D3E6" w:rsidR="0096164A" w:rsidRDefault="0096164A">
    <w:pPr>
      <w:pStyle w:val="Header"/>
    </w:pPr>
    <w:r>
      <w:rPr>
        <w:noProof/>
      </w:rPr>
      <w:pict w14:anchorId="4DDBFF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1960360" o:spid="_x0000_s1030" type="#_x0000_t75" style="position:absolute;margin-left:0;margin-top:0;width:15in;height:1188pt;z-index:-251657216;mso-position-horizontal:center;mso-position-horizontal-relative:margin;mso-position-vertical:center;mso-position-vertical-relative:margin" o:allowincell="f">
          <v:imagedata r:id="rId1" o:title="Value_logo icon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B4725" w14:textId="0BEBDFD2" w:rsidR="0096164A" w:rsidRDefault="0096164A">
    <w:pPr>
      <w:pStyle w:val="Header"/>
    </w:pPr>
    <w:r>
      <w:rPr>
        <w:noProof/>
      </w:rPr>
      <w:pict w14:anchorId="72F644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1960361" o:spid="_x0000_s1031" type="#_x0000_t75" style="position:absolute;margin-left:0;margin-top:0;width:15in;height:1188pt;z-index:-251656192;mso-position-horizontal:center;mso-position-horizontal-relative:margin;mso-position-vertical:center;mso-position-vertical-relative:margin" o:allowincell="f">
          <v:imagedata r:id="rId1" o:title="Value_logo icon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B9CC4" w14:textId="1D385A3A" w:rsidR="0096164A" w:rsidRDefault="0096164A">
    <w:pPr>
      <w:pStyle w:val="Header"/>
    </w:pPr>
    <w:r>
      <w:rPr>
        <w:noProof/>
      </w:rPr>
      <w:pict w14:anchorId="15EA23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1960359" o:spid="_x0000_s1029" type="#_x0000_t75" style="position:absolute;margin-left:0;margin-top:0;width:15in;height:1188pt;z-index:-251658240;mso-position-horizontal:center;mso-position-horizontal-relative:margin;mso-position-vertical:center;mso-position-vertical-relative:margin" o:allowincell="f">
          <v:imagedata r:id="rId1" o:title="Value_logo icon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6136373">
    <w:abstractNumId w:val="8"/>
  </w:num>
  <w:num w:numId="2" w16cid:durableId="2094231819">
    <w:abstractNumId w:val="6"/>
  </w:num>
  <w:num w:numId="3" w16cid:durableId="1898129742">
    <w:abstractNumId w:val="5"/>
  </w:num>
  <w:num w:numId="4" w16cid:durableId="550968973">
    <w:abstractNumId w:val="4"/>
  </w:num>
  <w:num w:numId="5" w16cid:durableId="1855460332">
    <w:abstractNumId w:val="7"/>
  </w:num>
  <w:num w:numId="6" w16cid:durableId="1903982729">
    <w:abstractNumId w:val="3"/>
  </w:num>
  <w:num w:numId="7" w16cid:durableId="1910263639">
    <w:abstractNumId w:val="2"/>
  </w:num>
  <w:num w:numId="8" w16cid:durableId="2034108538">
    <w:abstractNumId w:val="1"/>
  </w:num>
  <w:num w:numId="9" w16cid:durableId="66878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4C9B"/>
    <w:rsid w:val="0015074B"/>
    <w:rsid w:val="0029639D"/>
    <w:rsid w:val="00326F90"/>
    <w:rsid w:val="00542A88"/>
    <w:rsid w:val="0069570E"/>
    <w:rsid w:val="0096164A"/>
    <w:rsid w:val="009D487F"/>
    <w:rsid w:val="00AA1D8D"/>
    <w:rsid w:val="00B47730"/>
    <w:rsid w:val="00CB0664"/>
    <w:rsid w:val="00F349E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008632"/>
  <w14:defaultImageDpi w14:val="300"/>
  <w15:docId w15:val="{DE5BC937-28BC-40A5-B795-029870887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287</Words>
  <Characters>2412</Characters>
  <Application>Microsoft Office Word</Application>
  <DocSecurity>0</DocSecurity>
  <Lines>86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Gary Gayle</cp:lastModifiedBy>
  <cp:revision>4</cp:revision>
  <dcterms:created xsi:type="dcterms:W3CDTF">2026-03-03T04:02:00Z</dcterms:created>
  <dcterms:modified xsi:type="dcterms:W3CDTF">2026-03-03T04:08:00Z</dcterms:modified>
  <cp:category/>
</cp:coreProperties>
</file>